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6ABB7" w14:textId="77777777" w:rsidR="00297A44" w:rsidRPr="00D81903" w:rsidRDefault="00297A44" w:rsidP="00297A44">
      <w:pPr>
        <w:ind w:firstLine="0"/>
        <w:rPr>
          <w:b/>
        </w:rPr>
      </w:pPr>
      <w:r w:rsidRPr="00D81903">
        <w:rPr>
          <w:b/>
        </w:rPr>
        <w:t>Student’s Name</w:t>
      </w:r>
    </w:p>
    <w:p w14:paraId="755671FB" w14:textId="77777777" w:rsidR="00297A44" w:rsidRPr="00D81903" w:rsidRDefault="00297A44" w:rsidP="00297A44">
      <w:pPr>
        <w:ind w:firstLine="0"/>
        <w:rPr>
          <w:b/>
        </w:rPr>
      </w:pPr>
      <w:r w:rsidRPr="00D81903">
        <w:rPr>
          <w:b/>
        </w:rPr>
        <w:t>Professor’s Name</w:t>
      </w:r>
    </w:p>
    <w:p w14:paraId="105F969C" w14:textId="77777777" w:rsidR="00297A44" w:rsidRPr="00D81903" w:rsidRDefault="00297A44" w:rsidP="00297A44">
      <w:pPr>
        <w:ind w:firstLine="0"/>
        <w:rPr>
          <w:b/>
        </w:rPr>
      </w:pPr>
      <w:r w:rsidRPr="00D81903">
        <w:rPr>
          <w:b/>
        </w:rPr>
        <w:t>Topic</w:t>
      </w:r>
    </w:p>
    <w:p w14:paraId="72576C3A" w14:textId="3E218BDB" w:rsidR="00AC0083" w:rsidRPr="00D81903" w:rsidRDefault="00297A44" w:rsidP="00297A44">
      <w:pPr>
        <w:ind w:firstLine="0"/>
        <w:rPr>
          <w:b/>
        </w:rPr>
      </w:pPr>
      <w:r w:rsidRPr="00D81903">
        <w:rPr>
          <w:b/>
        </w:rPr>
        <w:t>Date</w:t>
      </w:r>
    </w:p>
    <w:p w14:paraId="0D4B62E0" w14:textId="11375C29" w:rsidR="00AC0083" w:rsidRPr="00501508" w:rsidRDefault="004D65CD" w:rsidP="00501508">
      <w:pPr>
        <w:pStyle w:val="Heading1"/>
      </w:pPr>
      <w:r w:rsidRPr="00501508">
        <w:t>Essay 1</w:t>
      </w:r>
      <w:r w:rsidR="008B0A23" w:rsidRPr="00501508">
        <w:softHyphen/>
        <w:t>-Comparing Two Works of Art or Visual Culture</w:t>
      </w:r>
      <w:r w:rsidR="00611316" w:rsidRPr="00501508">
        <w:t xml:space="preserve"> with Focus on Reuse of artistic Styles or Subject</w:t>
      </w:r>
    </w:p>
    <w:p w14:paraId="0E374EFD" w14:textId="0FC2BF0F" w:rsidR="00BC26E8" w:rsidRDefault="008B0A23" w:rsidP="00B13C7C">
      <w:r>
        <w:t xml:space="preserve">Art is the expression of human imagination </w:t>
      </w:r>
      <w:r w:rsidR="00910823">
        <w:t>ideally in visual forms such a</w:t>
      </w:r>
      <w:bookmarkStart w:id="0" w:name="_GoBack"/>
      <w:bookmarkEnd w:id="0"/>
      <w:r w:rsidR="00910823">
        <w:t>s sculptures and paintings</w:t>
      </w:r>
      <w:r w:rsidR="00611316">
        <w:t>.</w:t>
      </w:r>
      <w:r w:rsidR="000075F8">
        <w:t xml:space="preserve"> Throughout the 18</w:t>
      </w:r>
      <w:r w:rsidR="000075F8" w:rsidRPr="000075F8">
        <w:rPr>
          <w:vertAlign w:val="superscript"/>
        </w:rPr>
        <w:t>th</w:t>
      </w:r>
      <w:r w:rsidR="000075F8">
        <w:t xml:space="preserve"> century academic paintings in the sphere of national academies. Its dominance went into the better part of the 19</w:t>
      </w:r>
      <w:r w:rsidR="000075F8" w:rsidRPr="000075F8">
        <w:rPr>
          <w:vertAlign w:val="superscript"/>
        </w:rPr>
        <w:t>th</w:t>
      </w:r>
      <w:r w:rsidR="000075F8">
        <w:t xml:space="preserve"> century due to the increased patronage of its art among the people. Within the French culture</w:t>
      </w:r>
      <w:r w:rsidR="002E771A">
        <w:t>,</w:t>
      </w:r>
      <w:r w:rsidR="000075F8">
        <w:t xml:space="preserve"> the dominance of historical sculptures was greatly driven by the French state through its propagandists such as </w:t>
      </w:r>
      <w:r w:rsidR="00F63426">
        <w:t xml:space="preserve">Antoine Jean and </w:t>
      </w:r>
      <w:hyperlink r:id="rId8" w:history="1">
        <w:r w:rsidR="000075F8" w:rsidRPr="000075F8">
          <w:t>Jacques</w:t>
        </w:r>
        <w:r w:rsidR="000075F8">
          <w:t xml:space="preserve"> </w:t>
        </w:r>
        <w:r w:rsidR="000075F8" w:rsidRPr="000075F8">
          <w:t>Louis David</w:t>
        </w:r>
      </w:hyperlink>
      <w:r w:rsidR="00F63426">
        <w:t xml:space="preserve"> during the revolutionary and Napoleonic times. However, the propagandists fell out of favor with the French government after the defeat of Napoleon in 1815 and they had to delve into the past to get alternative subject matter such as subject matter oppositional to government citing oppression both home and abroad such as</w:t>
      </w:r>
      <w:r w:rsidR="00F63426" w:rsidRPr="00B13C7C">
        <w:t xml:space="preserve"> </w:t>
      </w:r>
      <w:hyperlink r:id="rId9" w:tooltip="Goya" w:history="1">
        <w:r w:rsidR="00B13C7C" w:rsidRPr="00B13C7C">
          <w:rPr>
            <w:i/>
            <w:iCs/>
          </w:rPr>
          <w:t>Goya</w:t>
        </w:r>
      </w:hyperlink>
      <w:r w:rsidR="00B13C7C" w:rsidRPr="00B13C7C">
        <w:rPr>
          <w:i/>
          <w:iCs/>
        </w:rPr>
        <w:t>'s </w:t>
      </w:r>
      <w:hyperlink r:id="rId10" w:tooltip="The Third of May 1808" w:history="1">
        <w:r w:rsidR="00B13C7C" w:rsidRPr="00B13C7C">
          <w:rPr>
            <w:i/>
            <w:iCs/>
          </w:rPr>
          <w:t>The Third of May 1808</w:t>
        </w:r>
      </w:hyperlink>
      <w:r w:rsidR="00B13C7C" w:rsidRPr="00B13C7C">
        <w:t>  and </w:t>
      </w:r>
      <w:r w:rsidR="00B13C7C" w:rsidRPr="00B13C7C">
        <w:rPr>
          <w:i/>
          <w:iCs/>
        </w:rPr>
        <w:t>Gericault’s </w:t>
      </w:r>
      <w:hyperlink r:id="rId11" w:tooltip="The Raft of the Medusa" w:history="1">
        <w:r w:rsidR="00B13C7C" w:rsidRPr="00B13C7C">
          <w:rPr>
            <w:i/>
            <w:iCs/>
          </w:rPr>
          <w:t>The Raft of the Medusa</w:t>
        </w:r>
      </w:hyperlink>
      <w:r w:rsidR="00B13C7C" w:rsidRPr="00B13C7C">
        <w:rPr>
          <w:i/>
          <w:iCs/>
        </w:rPr>
        <w:t> (1818–19)</w:t>
      </w:r>
      <w:r w:rsidR="00B13C7C">
        <w:rPr>
          <w:i/>
          <w:iCs/>
        </w:rPr>
        <w:t xml:space="preserve"> </w:t>
      </w:r>
      <w:r w:rsidR="00B13C7C">
        <w:t>although perceived to being heroic illustrated the suffering of ordinary citizens.</w:t>
      </w:r>
    </w:p>
    <w:p w14:paraId="594C250F" w14:textId="583BDE44" w:rsidR="00B13C7C" w:rsidRPr="00C85B9B" w:rsidRDefault="00B13C7C" w:rsidP="00B13C7C">
      <w:r>
        <w:t xml:space="preserve">In the British culture different from the </w:t>
      </w:r>
      <w:r w:rsidR="00C85B9B">
        <w:t>French,</w:t>
      </w:r>
      <w:r>
        <w:t xml:space="preserve"> </w:t>
      </w:r>
      <w:r w:rsidR="00C85B9B">
        <w:t xml:space="preserve">they </w:t>
      </w:r>
      <w:r>
        <w:t>started portraying the napoleon wars and victories at the time when they were duly done.</w:t>
      </w:r>
      <w:r w:rsidR="00303C25">
        <w:t xml:space="preserve"> In</w:t>
      </w:r>
      <w:r w:rsidR="002E771A">
        <w:t xml:space="preserve"> </w:t>
      </w:r>
      <w:r>
        <w:t>the 19</w:t>
      </w:r>
      <w:r w:rsidRPr="00B13C7C">
        <w:rPr>
          <w:vertAlign w:val="superscript"/>
        </w:rPr>
        <w:t>th</w:t>
      </w:r>
      <w:r>
        <w:t xml:space="preserve"> century</w:t>
      </w:r>
      <w:r w:rsidR="002E771A">
        <w:t>,</w:t>
      </w:r>
      <w:r>
        <w:t xml:space="preserve"> historical painting mushroomed and gained dominance due to the decline in religious subject scenes</w:t>
      </w:r>
      <w:r w:rsidR="0027714A">
        <w:t xml:space="preserve"> from</w:t>
      </w:r>
      <w:r>
        <w:t xml:space="preserve"> the bible</w:t>
      </w:r>
      <w:r w:rsidR="0027714A">
        <w:t>.</w:t>
      </w:r>
      <w:r w:rsidR="00303C25">
        <w:t xml:space="preserve"> At </w:t>
      </w:r>
      <w:r w:rsidR="0027714A">
        <w:t>the onset of the 19</w:t>
      </w:r>
      <w:r w:rsidR="0027714A" w:rsidRPr="0027714A">
        <w:rPr>
          <w:vertAlign w:val="superscript"/>
        </w:rPr>
        <w:t>th</w:t>
      </w:r>
      <w:r w:rsidR="0027714A">
        <w:t xml:space="preserve"> </w:t>
      </w:r>
      <w:r w:rsidR="0027714A">
        <w:lastRenderedPageBreak/>
        <w:t>century</w:t>
      </w:r>
      <w:r w:rsidR="00303C25">
        <w:t>,</w:t>
      </w:r>
      <w:r w:rsidR="0027714A">
        <w:t xml:space="preserve"> the historical paintings were curtailed towards particular historical literature times, gaining </w:t>
      </w:r>
      <w:r w:rsidR="002E771A">
        <w:t>many</w:t>
      </w:r>
      <w:r w:rsidR="0027714A">
        <w:t xml:space="preserve"> choice</w:t>
      </w:r>
      <w:r w:rsidR="002E771A">
        <w:t>s</w:t>
      </w:r>
      <w:r w:rsidR="0027714A">
        <w:t xml:space="preserve"> was the novels of </w:t>
      </w:r>
      <w:r w:rsidR="0027714A" w:rsidRPr="0027714A">
        <w:rPr>
          <w:i/>
          <w:iCs/>
        </w:rPr>
        <w:t>Sir Walter Scott</w:t>
      </w:r>
      <w:r w:rsidR="0027714A">
        <w:t xml:space="preserve">. Medieval sceneries occurring during the mid-century were meticulously and accurately researched using particulars of décor and architecture readily available, </w:t>
      </w:r>
      <w:r w:rsidR="0027714A" w:rsidRPr="0027714A">
        <w:rPr>
          <w:i/>
          <w:iCs/>
        </w:rPr>
        <w:t>The Entry of Roger de Flor in Constantinople</w:t>
      </w:r>
      <w:r w:rsidR="00C85B9B">
        <w:rPr>
          <w:i/>
          <w:iCs/>
        </w:rPr>
        <w:t xml:space="preserve"> </w:t>
      </w:r>
      <w:r w:rsidR="00C85B9B">
        <w:t>an invent</w:t>
      </w:r>
      <w:r w:rsidR="002E771A">
        <w:t>ion</w:t>
      </w:r>
      <w:r w:rsidR="00C85B9B">
        <w:t xml:space="preserve"> of Moreno Carbonero applying the Byzantine architecture, clothing</w:t>
      </w:r>
      <w:r w:rsidR="002E771A">
        <w:t xml:space="preserve">, </w:t>
      </w:r>
      <w:r w:rsidR="00C85B9B">
        <w:t>and decor from</w:t>
      </w:r>
      <w:r w:rsidR="002E771A">
        <w:t xml:space="preserve"> </w:t>
      </w:r>
      <w:r w:rsidR="00C85B9B">
        <w:t xml:space="preserve">rigorous research in Parisian museums. Historical painting </w:t>
      </w:r>
      <w:r w:rsidR="00C90E68">
        <w:t>is</w:t>
      </w:r>
      <w:r w:rsidR="00C85B9B">
        <w:t xml:space="preserve"> mostly intertwined with the </w:t>
      </w:r>
      <w:r w:rsidR="00C90E68">
        <w:t>movements promoting national interests deliberately to achieve self-governance devoid of the external interference over its homeland from external forces and nations</w:t>
      </w:r>
      <w:r w:rsidR="00C90E68">
        <w:rPr>
          <w:rStyle w:val="FootnoteReference"/>
        </w:rPr>
        <w:footnoteReference w:id="1"/>
      </w:r>
    </w:p>
    <w:p w14:paraId="2221A09E" w14:textId="10902386" w:rsidR="009525ED" w:rsidRPr="00371D7B" w:rsidRDefault="009525ED" w:rsidP="00371D7B">
      <w:pPr>
        <w:jc w:val="center"/>
        <w:rPr>
          <w:b/>
        </w:rPr>
      </w:pPr>
      <w:r w:rsidRPr="00371D7B">
        <w:rPr>
          <w:b/>
        </w:rPr>
        <w:t>Essay 2-Comparing Examples from Three Different Cultures on How Architecture Affirms Social Values</w:t>
      </w:r>
    </w:p>
    <w:p w14:paraId="2ED4D9E4" w14:textId="21AD50E1" w:rsidR="008B0A23" w:rsidRDefault="00883636" w:rsidP="009525ED">
      <w:r>
        <w:t xml:space="preserve"> Cultures through their distinct architectural designs and structures have played subtle and conscious assertion to both political and religious bearing to its people.</w:t>
      </w:r>
      <w:r w:rsidR="00644D33">
        <w:t xml:space="preserve"> Religious structures within any community are the most expressive and influential structures that are treated with </w:t>
      </w:r>
      <w:r w:rsidR="00303C25">
        <w:t xml:space="preserve">the </w:t>
      </w:r>
      <w:r w:rsidR="00644D33">
        <w:t>utmost respect. Such structures vary in design due to the various functions intended to achieve, Christian and Muslim cultures design their structures to cater for congregations thus having huge buildings to accommodate crowds different from ancient Egypt cultures where the entry into such premises was exclusive to priests and privileged members of the society since it was considered to be the residence of their deity.</w:t>
      </w:r>
      <w:r w:rsidR="006B7184">
        <w:rPr>
          <w:rStyle w:val="FootnoteReference"/>
        </w:rPr>
        <w:footnoteReference w:id="2"/>
      </w:r>
      <w:r w:rsidR="00471533">
        <w:t xml:space="preserve"> The structures are subjectively designed to cater </w:t>
      </w:r>
      <w:r w:rsidR="002E771A">
        <w:t xml:space="preserve">to </w:t>
      </w:r>
      <w:r w:rsidR="00471533">
        <w:t xml:space="preserve">the particular beliefs and customs associated with them such as in Muslims, mosques are designed in such a way that interior walls face Mecca the </w:t>
      </w:r>
      <w:r w:rsidR="002E771A">
        <w:t>holiest</w:t>
      </w:r>
      <w:r w:rsidR="00471533">
        <w:t xml:space="preserve"> site in their religion since it’s prophet </w:t>
      </w:r>
      <w:r w:rsidR="00471533">
        <w:lastRenderedPageBreak/>
        <w:t>Muhammad city of birth. Christian structures are patterned to ensure the faithful face the focal point of the service.</w:t>
      </w:r>
    </w:p>
    <w:p w14:paraId="3C22204C" w14:textId="4B538292" w:rsidR="009A173A" w:rsidRDefault="003B51BE" w:rsidP="003B51BE">
      <w:r>
        <w:t>Architectural designs can also express the political notions perceived in</w:t>
      </w:r>
      <w:r w:rsidR="002E771A">
        <w:t xml:space="preserve"> </w:t>
      </w:r>
      <w:r>
        <w:t>society, practically with the need for seamless service dispensation government structures</w:t>
      </w:r>
      <w:r w:rsidR="003041BE">
        <w:t xml:space="preserve"> that</w:t>
      </w:r>
      <w:r>
        <w:t xml:space="preserve"> ha</w:t>
      </w:r>
      <w:r w:rsidR="00303C25">
        <w:t>s</w:t>
      </w:r>
      <w:r>
        <w:t xml:space="preserve"> since been duly sophisticated to meet such demands resulting </w:t>
      </w:r>
      <w:r w:rsidR="00621DC5">
        <w:t>in</w:t>
      </w:r>
      <w:r>
        <w:t xml:space="preserve"> bureaucracies and formalities of political structures. </w:t>
      </w:r>
      <w:r w:rsidR="00227520">
        <w:t xml:space="preserve">In the ancient Greek cities and medieval </w:t>
      </w:r>
      <w:r w:rsidR="00EB6EA1">
        <w:t>towns,</w:t>
      </w:r>
      <w:r w:rsidR="00227520">
        <w:t xml:space="preserve"> the domestic government structures were deliberated through simple democratic processes whilst in the roman</w:t>
      </w:r>
      <w:r w:rsidR="00621DC5">
        <w:t>,</w:t>
      </w:r>
      <w:r w:rsidR="00227520">
        <w:t xml:space="preserve"> there was merely no segregation between the royal palace and the public offices to distinctively offer service. </w:t>
      </w:r>
      <w:r>
        <w:t xml:space="preserve">This can be observed in the entire world where with the inevitable formation of organized governments specialized structures such as parliament, courts, ministry offices and all public offices have been designed to satisfy the </w:t>
      </w:r>
      <w:r w:rsidR="009A173A">
        <w:t>citizenry demands.</w:t>
      </w:r>
    </w:p>
    <w:p w14:paraId="4936F468" w14:textId="4F910ABC" w:rsidR="00471533" w:rsidRDefault="009A173A" w:rsidP="003B51BE">
      <w:r>
        <w:t xml:space="preserve">Architecture </w:t>
      </w:r>
      <w:r w:rsidR="00621DC5">
        <w:t xml:space="preserve">has </w:t>
      </w:r>
      <w:r>
        <w:t xml:space="preserve">also proven its centrality in setting </w:t>
      </w:r>
      <w:r w:rsidR="00621DC5">
        <w:t xml:space="preserve">the </w:t>
      </w:r>
      <w:r>
        <w:t xml:space="preserve">pace for social activities, the roman empire by building the colosseum it hosted various events such as the </w:t>
      </w:r>
      <w:r w:rsidR="007068E2">
        <w:rPr>
          <w:i/>
          <w:iCs/>
        </w:rPr>
        <w:t>munera</w:t>
      </w:r>
      <w:r w:rsidR="007068E2">
        <w:t xml:space="preserve"> that was immensely popular among</w:t>
      </w:r>
      <w:r w:rsidR="00621DC5">
        <w:t xml:space="preserve"> the population</w:t>
      </w:r>
      <w:r w:rsidR="007068E2">
        <w:t xml:space="preserve"> since it had a sense of religion and demonstration of power and family prestige</w:t>
      </w:r>
      <w:r w:rsidR="001E5968">
        <w:t>.</w:t>
      </w:r>
      <w:r w:rsidR="001E5968">
        <w:rPr>
          <w:rStyle w:val="FootnoteReference"/>
        </w:rPr>
        <w:footnoteReference w:id="3"/>
      </w:r>
      <w:r w:rsidR="001E5968">
        <w:t xml:space="preserve"> The Greeks originated with the seminal theatre installations using </w:t>
      </w:r>
      <w:r w:rsidR="000C7380">
        <w:t xml:space="preserve">curved </w:t>
      </w:r>
      <w:r w:rsidR="001E5968">
        <w:t>slopes and hills</w:t>
      </w:r>
      <w:r w:rsidR="000C7380">
        <w:t xml:space="preserve"> bringing spectators close to the stage, during such events</w:t>
      </w:r>
      <w:r w:rsidR="00303C25">
        <w:t>,</w:t>
      </w:r>
      <w:r w:rsidR="000C7380">
        <w:t xml:space="preserve"> people created social bonds through interactions</w:t>
      </w:r>
      <w:r w:rsidR="00621DC5">
        <w:t xml:space="preserve">, </w:t>
      </w:r>
      <w:r w:rsidR="000C7380">
        <w:t>and with the periodic organization of such events it was incorporated into the way of life of the people</w:t>
      </w:r>
      <w:r w:rsidR="005913F9">
        <w:t>.</w:t>
      </w:r>
    </w:p>
    <w:p w14:paraId="7C9E72CD" w14:textId="7FE139B5" w:rsidR="005913F9" w:rsidRPr="005913F9" w:rsidRDefault="005913F9" w:rsidP="00DE0413">
      <w:r>
        <w:t>Funerary art that extends towards symbolism represent</w:t>
      </w:r>
      <w:r w:rsidR="00621DC5">
        <w:t>s</w:t>
      </w:r>
      <w:r>
        <w:t xml:space="preserve"> societies that belie</w:t>
      </w:r>
      <w:r w:rsidR="00621DC5">
        <w:t>ve</w:t>
      </w:r>
      <w:r>
        <w:t xml:space="preserve"> in </w:t>
      </w:r>
      <w:r w:rsidR="00DE0413">
        <w:t>life after death</w:t>
      </w:r>
      <w:r>
        <w:t xml:space="preserve"> </w:t>
      </w:r>
      <w:r w:rsidR="00DE0413">
        <w:t xml:space="preserve">to be materialistic and want to affirm their temporal importance. Great believers of such rites are the Egyptians greatly attributed to monumental tombs in the pyramids where through archaeological advancement </w:t>
      </w:r>
      <w:r w:rsidR="00DE0413">
        <w:lastRenderedPageBreak/>
        <w:t xml:space="preserve">preserved dead bodies are found buried with materialistic possession associated with the belief of life after death. Tombs are not only a preserve of Egypt but also Greece where there are tombs such as </w:t>
      </w:r>
      <w:r w:rsidR="00621DC5">
        <w:t xml:space="preserve">the </w:t>
      </w:r>
      <w:hyperlink r:id="rId12" w:history="1">
        <w:r w:rsidR="00DE0413" w:rsidRPr="00DE0413">
          <w:t>tomb of Mausolus at Halicarnassus</w:t>
        </w:r>
      </w:hyperlink>
      <w:r w:rsidR="00DE0413">
        <w:t xml:space="preserve"> where the word mausoleum was derived from and in ancient roman the tomb of Hadrian.</w:t>
      </w:r>
    </w:p>
    <w:p w14:paraId="002BD22D" w14:textId="48076476" w:rsidR="000C7380" w:rsidRDefault="003041BE" w:rsidP="005913F9">
      <w:r>
        <w:t>Before</w:t>
      </w:r>
      <w:r w:rsidR="000C7380">
        <w:t xml:space="preserve"> interaction with the architectural designs, it was never preconceived that they represented the relationship between the citizenry and the ruling class.</w:t>
      </w:r>
      <w:r w:rsidR="00621DC5">
        <w:t xml:space="preserve"> A g</w:t>
      </w:r>
      <w:r w:rsidR="000C7380">
        <w:t xml:space="preserve">overnment that </w:t>
      </w:r>
      <w:r w:rsidR="005913F9">
        <w:t>tends</w:t>
      </w:r>
      <w:r w:rsidR="000C7380">
        <w:t xml:space="preserve"> to use state monopoly of resources and force rather than </w:t>
      </w:r>
      <w:r w:rsidR="005913F9">
        <w:t xml:space="preserve">democratic input of the electorate </w:t>
      </w:r>
      <w:r w:rsidR="000C7380">
        <w:t>ha</w:t>
      </w:r>
      <w:r w:rsidR="00621DC5">
        <w:t>s</w:t>
      </w:r>
      <w:r w:rsidR="000C7380">
        <w:t xml:space="preserve"> a huge tendency of </w:t>
      </w:r>
      <w:r w:rsidR="005913F9">
        <w:t>overemphasizing their power through grandeur structures not commensurate to effective service delivery. Leaders attributed to divine attributes enjoin religious symbolism in structures</w:t>
      </w:r>
      <w:r w:rsidR="00227520">
        <w:t>. With the advent of civili</w:t>
      </w:r>
      <w:r w:rsidR="00EB6EA1">
        <w:t xml:space="preserve">zation and capitalism in the </w:t>
      </w:r>
      <w:r w:rsidR="00303C25">
        <w:t>world</w:t>
      </w:r>
      <w:r w:rsidR="00621DC5">
        <w:t>,</w:t>
      </w:r>
      <w:r w:rsidR="00EB6EA1">
        <w:t xml:space="preserve"> a few people may gain</w:t>
      </w:r>
      <w:r w:rsidR="00303C25">
        <w:t xml:space="preserve"> an</w:t>
      </w:r>
      <w:r w:rsidR="00EB6EA1">
        <w:t xml:space="preserve"> advantage through their economic and class distinction to get access to resources for </w:t>
      </w:r>
      <w:r w:rsidR="00621DC5">
        <w:t xml:space="preserve">the </w:t>
      </w:r>
      <w:r w:rsidR="00EB6EA1">
        <w:t>construction of homes, gardens</w:t>
      </w:r>
      <w:r w:rsidR="00303C25">
        <w:t xml:space="preserve">, </w:t>
      </w:r>
      <w:r w:rsidR="00EB6EA1">
        <w:t xml:space="preserve">and social places giving rise to power architecture. This can be attributed to </w:t>
      </w:r>
      <w:r w:rsidR="00621DC5">
        <w:t xml:space="preserve">a </w:t>
      </w:r>
      <w:r w:rsidR="00EB6EA1">
        <w:t>hazy web of expression and display of power through elegance which is mostly affixed to the powerful, although such show of power in ancient Greece was largely reserved but distinguishable</w:t>
      </w:r>
    </w:p>
    <w:p w14:paraId="3E57E971" w14:textId="4DA3754F" w:rsidR="00FA3A89" w:rsidRDefault="00FA3A89" w:rsidP="00FA3A89">
      <w:pPr>
        <w:pStyle w:val="NoSpacing"/>
      </w:pPr>
    </w:p>
    <w:p w14:paraId="12D828B3" w14:textId="099E1C12" w:rsidR="00FA3A89" w:rsidRDefault="00FA3A89" w:rsidP="00FA3A89">
      <w:pPr>
        <w:pStyle w:val="NoSpacing"/>
      </w:pPr>
    </w:p>
    <w:p w14:paraId="11A78521" w14:textId="62AB0B5E" w:rsidR="00FA3A89" w:rsidRDefault="00FA3A89" w:rsidP="00FA3A89">
      <w:pPr>
        <w:pStyle w:val="NoSpacing"/>
      </w:pPr>
    </w:p>
    <w:p w14:paraId="56E000D2" w14:textId="6A8C52CD" w:rsidR="00FA3A89" w:rsidRDefault="00FA3A89" w:rsidP="00FA3A89">
      <w:pPr>
        <w:pStyle w:val="NoSpacing"/>
      </w:pPr>
    </w:p>
    <w:p w14:paraId="24516C80" w14:textId="62BC1ECC" w:rsidR="00FA3A89" w:rsidRDefault="00FA3A89" w:rsidP="00FA3A89">
      <w:pPr>
        <w:pStyle w:val="NoSpacing"/>
      </w:pPr>
    </w:p>
    <w:p w14:paraId="65F67011" w14:textId="3A3634F6" w:rsidR="00FA3A89" w:rsidRDefault="00FA3A89" w:rsidP="00FA3A89">
      <w:pPr>
        <w:pStyle w:val="NoSpacing"/>
      </w:pPr>
    </w:p>
    <w:p w14:paraId="4C9A93B7" w14:textId="61219EDB" w:rsidR="00FA3A89" w:rsidRDefault="00FA3A89" w:rsidP="00FA3A89">
      <w:pPr>
        <w:pStyle w:val="NoSpacing"/>
      </w:pPr>
    </w:p>
    <w:p w14:paraId="61D82D6B" w14:textId="3D53575C" w:rsidR="00FA3A89" w:rsidRDefault="00FA3A89" w:rsidP="00FA3A89">
      <w:pPr>
        <w:pStyle w:val="NoSpacing"/>
      </w:pPr>
    </w:p>
    <w:p w14:paraId="73CD2F7D" w14:textId="77777777" w:rsidR="00134848" w:rsidRDefault="00134848" w:rsidP="00501508">
      <w:pPr>
        <w:pStyle w:val="Heading1"/>
        <w:rPr>
          <w:rFonts w:eastAsiaTheme="minorHAnsi"/>
        </w:rPr>
      </w:pPr>
    </w:p>
    <w:p w14:paraId="4F8E9EF6" w14:textId="2546EF38" w:rsidR="009525ED" w:rsidRPr="00134848" w:rsidRDefault="006B7184" w:rsidP="00501508">
      <w:pPr>
        <w:pStyle w:val="Heading1"/>
      </w:pPr>
      <w:r w:rsidRPr="00134848">
        <w:t>Works Cited</w:t>
      </w:r>
    </w:p>
    <w:p w14:paraId="23C83AAB" w14:textId="77777777" w:rsidR="00B04ECD" w:rsidRDefault="00B04ECD" w:rsidP="00B04ECD">
      <w:pPr>
        <w:ind w:left="720" w:hanging="720"/>
      </w:pPr>
      <w:r w:rsidRPr="006B7184">
        <w:t xml:space="preserve">Amanda, </w:t>
      </w:r>
      <w:proofErr w:type="spellStart"/>
      <w:r w:rsidRPr="006B7184">
        <w:t>Claridge</w:t>
      </w:r>
      <w:proofErr w:type="spellEnd"/>
      <w:r w:rsidRPr="006B7184">
        <w:t xml:space="preserve">. </w:t>
      </w:r>
      <w:r w:rsidRPr="006B7184">
        <w:rPr>
          <w:i/>
          <w:iCs/>
        </w:rPr>
        <w:t xml:space="preserve">Rome; An Oxford Archaeology Guide. </w:t>
      </w:r>
      <w:r w:rsidRPr="006B7184">
        <w:t>Oxford University Press,1998</w:t>
      </w:r>
      <w:r>
        <w:t>.</w:t>
      </w:r>
    </w:p>
    <w:p w14:paraId="537F7D93" w14:textId="77777777" w:rsidR="00B04ECD" w:rsidRDefault="00B04ECD" w:rsidP="00B04ECD">
      <w:pPr>
        <w:ind w:left="720" w:hanging="720"/>
      </w:pPr>
      <w:r w:rsidRPr="00C90E68">
        <w:t>Finlayson, Alan. </w:t>
      </w:r>
      <w:hyperlink r:id="rId13" w:history="1">
        <w:r w:rsidRPr="00C90E68">
          <w:rPr>
            <w:i/>
            <w:iCs/>
          </w:rPr>
          <w:t>Political Ideologies: An Introduction</w:t>
        </w:r>
      </w:hyperlink>
      <w:r w:rsidRPr="00C90E68">
        <w:t>. Routledge,1997</w:t>
      </w:r>
      <w:r>
        <w:t>.</w:t>
      </w:r>
    </w:p>
    <w:p w14:paraId="5D0146DE" w14:textId="77777777" w:rsidR="00B04ECD" w:rsidRPr="006B7184" w:rsidRDefault="00B04ECD" w:rsidP="00B04ECD">
      <w:pPr>
        <w:ind w:left="720" w:hanging="720"/>
      </w:pPr>
      <w:r w:rsidRPr="00FA3A89">
        <w:rPr>
          <w:rFonts w:cs="Times New Roman"/>
          <w:color w:val="202122"/>
          <w:shd w:val="clear" w:color="auto" w:fill="FFFFFF"/>
        </w:rPr>
        <w:t>Fletcher</w:t>
      </w:r>
      <w:r w:rsidRPr="00FA3A89">
        <w:rPr>
          <w:rFonts w:cs="Times New Roman"/>
        </w:rPr>
        <w:t>, P</w:t>
      </w:r>
      <w:r w:rsidRPr="00FA3A89">
        <w:rPr>
          <w:rFonts w:cs="Times New Roman"/>
          <w:color w:val="202122"/>
          <w:shd w:val="clear" w:color="auto" w:fill="FFFFFF"/>
        </w:rPr>
        <w:t>amela.</w:t>
      </w:r>
      <w:r w:rsidRPr="00FA3A89">
        <w:rPr>
          <w:rFonts w:cs="Times New Roman"/>
        </w:rPr>
        <w:t xml:space="preserve"> </w:t>
      </w:r>
      <w:hyperlink r:id="rId14" w:history="1">
        <w:r w:rsidRPr="00FA3A89">
          <w:rPr>
            <w:rFonts w:cs="Times New Roman"/>
            <w:i/>
            <w:iCs/>
          </w:rPr>
          <w:t>Narrating Modernity: The British Modernity Picture. </w:t>
        </w:r>
      </w:hyperlink>
      <w:r w:rsidRPr="00FA3A89">
        <w:t>Ashgate Publishing Ltd,1894-1914</w:t>
      </w:r>
      <w:r>
        <w:t>.</w:t>
      </w:r>
    </w:p>
    <w:sectPr w:rsidR="00B04ECD" w:rsidRPr="006B7184" w:rsidSect="008E3CAB">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8A3070" w14:textId="77777777" w:rsidR="00A03E13" w:rsidRDefault="00A03E13" w:rsidP="00652955">
      <w:pPr>
        <w:spacing w:line="240" w:lineRule="auto"/>
      </w:pPr>
      <w:r>
        <w:separator/>
      </w:r>
    </w:p>
  </w:endnote>
  <w:endnote w:type="continuationSeparator" w:id="0">
    <w:p w14:paraId="4C404BFF" w14:textId="77777777" w:rsidR="00A03E13" w:rsidRDefault="00A03E13" w:rsidP="006529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926723" w14:textId="77777777" w:rsidR="00A03E13" w:rsidRDefault="00A03E13" w:rsidP="00652955">
      <w:pPr>
        <w:spacing w:line="240" w:lineRule="auto"/>
      </w:pPr>
      <w:r>
        <w:separator/>
      </w:r>
    </w:p>
  </w:footnote>
  <w:footnote w:type="continuationSeparator" w:id="0">
    <w:p w14:paraId="6BC48CF7" w14:textId="77777777" w:rsidR="00A03E13" w:rsidRDefault="00A03E13" w:rsidP="00652955">
      <w:pPr>
        <w:spacing w:line="240" w:lineRule="auto"/>
      </w:pPr>
      <w:r>
        <w:continuationSeparator/>
      </w:r>
    </w:p>
  </w:footnote>
  <w:footnote w:id="1">
    <w:p w14:paraId="12230070" w14:textId="55113644" w:rsidR="00C90E68" w:rsidRDefault="00C90E68">
      <w:pPr>
        <w:pStyle w:val="FootnoteText"/>
      </w:pPr>
      <w:r>
        <w:rPr>
          <w:rStyle w:val="FootnoteReference"/>
        </w:rPr>
        <w:footnoteRef/>
      </w:r>
      <w:r>
        <w:t xml:space="preserve"> </w:t>
      </w:r>
      <w:r w:rsidRPr="00C90E68">
        <w:rPr>
          <w:sz w:val="24"/>
          <w:szCs w:val="24"/>
        </w:rPr>
        <w:t>Finlayson, Alan. </w:t>
      </w:r>
      <w:hyperlink r:id="rId1" w:history="1">
        <w:r w:rsidRPr="00C90E68">
          <w:rPr>
            <w:i/>
            <w:iCs/>
            <w:sz w:val="24"/>
            <w:szCs w:val="24"/>
          </w:rPr>
          <w:t>Political Ideologies: An Introduction</w:t>
        </w:r>
      </w:hyperlink>
      <w:r w:rsidRPr="00C90E68">
        <w:rPr>
          <w:sz w:val="24"/>
          <w:szCs w:val="24"/>
        </w:rPr>
        <w:t>. Routledge,1997</w:t>
      </w:r>
      <w:r w:rsidR="006B7184">
        <w:rPr>
          <w:sz w:val="24"/>
          <w:szCs w:val="24"/>
        </w:rPr>
        <w:t>, pp 649.</w:t>
      </w:r>
    </w:p>
  </w:footnote>
  <w:footnote w:id="2">
    <w:p w14:paraId="573E6C83" w14:textId="1E4F6976" w:rsidR="006B7184" w:rsidRPr="00FA3A89" w:rsidRDefault="006B7184" w:rsidP="00FA3A89">
      <w:pPr>
        <w:pStyle w:val="NoSpacing"/>
      </w:pPr>
      <w:r w:rsidRPr="00FA3A89">
        <w:rPr>
          <w:rStyle w:val="FootnoteReference"/>
          <w:rFonts w:cs="Times New Roman"/>
          <w:szCs w:val="24"/>
        </w:rPr>
        <w:footnoteRef/>
      </w:r>
      <w:r w:rsidRPr="00FA3A89">
        <w:rPr>
          <w:rFonts w:cs="Times New Roman"/>
        </w:rPr>
        <w:t xml:space="preserve"> </w:t>
      </w:r>
      <w:r w:rsidRPr="00FA3A89">
        <w:rPr>
          <w:rFonts w:cs="Times New Roman"/>
          <w:color w:val="202122"/>
          <w:shd w:val="clear" w:color="auto" w:fill="FFFFFF"/>
        </w:rPr>
        <w:t>Fletcher</w:t>
      </w:r>
      <w:r w:rsidRPr="00FA3A89">
        <w:rPr>
          <w:rFonts w:cs="Times New Roman"/>
        </w:rPr>
        <w:t>, P</w:t>
      </w:r>
      <w:r w:rsidRPr="00FA3A89">
        <w:rPr>
          <w:rFonts w:cs="Times New Roman"/>
          <w:color w:val="202122"/>
          <w:shd w:val="clear" w:color="auto" w:fill="FFFFFF"/>
        </w:rPr>
        <w:t>amela.</w:t>
      </w:r>
      <w:r w:rsidRPr="00FA3A89">
        <w:rPr>
          <w:rFonts w:cs="Times New Roman"/>
        </w:rPr>
        <w:t xml:space="preserve"> </w:t>
      </w:r>
      <w:hyperlink r:id="rId2" w:history="1">
        <w:r w:rsidRPr="00FA3A89">
          <w:rPr>
            <w:rFonts w:cs="Times New Roman"/>
            <w:i/>
            <w:iCs/>
          </w:rPr>
          <w:t>Narrating Modernity:</w:t>
        </w:r>
        <w:r w:rsidR="00FA3A89" w:rsidRPr="00FA3A89">
          <w:rPr>
            <w:rFonts w:cs="Times New Roman"/>
            <w:i/>
            <w:iCs/>
          </w:rPr>
          <w:t xml:space="preserve"> The British Modernity Picture.</w:t>
        </w:r>
        <w:r w:rsidRPr="00FA3A89">
          <w:rPr>
            <w:rFonts w:cs="Times New Roman"/>
            <w:i/>
            <w:iCs/>
          </w:rPr>
          <w:t> </w:t>
        </w:r>
      </w:hyperlink>
      <w:r w:rsidR="00FA3A89" w:rsidRPr="00FA3A89">
        <w:t>Ashgate Publishing Ltd,1894-1914, pp 146</w:t>
      </w:r>
    </w:p>
  </w:footnote>
  <w:footnote w:id="3">
    <w:p w14:paraId="4DC5FB20" w14:textId="7E497A5E" w:rsidR="00F45318" w:rsidRPr="006B7184" w:rsidRDefault="00F45318">
      <w:pPr>
        <w:pStyle w:val="FootnoteText"/>
        <w:rPr>
          <w:sz w:val="24"/>
          <w:szCs w:val="24"/>
        </w:rPr>
      </w:pPr>
      <w:r w:rsidRPr="006B7184">
        <w:rPr>
          <w:rStyle w:val="FootnoteReference"/>
          <w:sz w:val="24"/>
          <w:szCs w:val="24"/>
        </w:rPr>
        <w:footnoteRef/>
      </w:r>
      <w:r w:rsidRPr="006B7184">
        <w:rPr>
          <w:sz w:val="24"/>
          <w:szCs w:val="24"/>
        </w:rPr>
        <w:t xml:space="preserve"> Amanda, Claridge. </w:t>
      </w:r>
      <w:r w:rsidRPr="006B7184">
        <w:rPr>
          <w:i/>
          <w:iCs/>
          <w:sz w:val="24"/>
          <w:szCs w:val="24"/>
        </w:rPr>
        <w:t xml:space="preserve">Rome; An Oxford Archaeology Guide. </w:t>
      </w:r>
      <w:r w:rsidRPr="006B7184">
        <w:rPr>
          <w:sz w:val="24"/>
          <w:szCs w:val="24"/>
        </w:rPr>
        <w:t>Oxford University Press,1998</w:t>
      </w:r>
      <w:r w:rsidR="006B7184" w:rsidRPr="006B7184">
        <w:rPr>
          <w:sz w:val="24"/>
          <w:szCs w:val="24"/>
        </w:rPr>
        <w:t>, pp206-pp209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B9AC3" w14:textId="25A089DD" w:rsidR="008E3CAB" w:rsidRPr="008E3CAB" w:rsidRDefault="008E3CAB" w:rsidP="008E3CAB">
    <w:pPr>
      <w:pStyle w:val="Header"/>
      <w:spacing w:line="480" w:lineRule="auto"/>
      <w:jc w:val="right"/>
      <w:rPr>
        <w:rFonts w:cs="Times New Roman"/>
        <w:szCs w:val="24"/>
      </w:rPr>
    </w:pPr>
    <w:r w:rsidRPr="008E3CAB">
      <w:rPr>
        <w:rFonts w:cs="Times New Roman"/>
        <w:szCs w:val="24"/>
      </w:rPr>
      <w:t xml:space="preserve">Surname; </w:t>
    </w:r>
    <w:sdt>
      <w:sdtPr>
        <w:rPr>
          <w:rFonts w:cs="Times New Roman"/>
          <w:szCs w:val="24"/>
        </w:rPr>
        <w:id w:val="414053377"/>
        <w:docPartObj>
          <w:docPartGallery w:val="Page Numbers (Top of Page)"/>
          <w:docPartUnique/>
        </w:docPartObj>
      </w:sdtPr>
      <w:sdtEndPr>
        <w:rPr>
          <w:noProof/>
        </w:rPr>
      </w:sdtEndPr>
      <w:sdtContent>
        <w:r w:rsidRPr="008E3CAB">
          <w:rPr>
            <w:rFonts w:cs="Times New Roman"/>
            <w:szCs w:val="24"/>
          </w:rPr>
          <w:fldChar w:fldCharType="begin"/>
        </w:r>
        <w:r w:rsidRPr="008E3CAB">
          <w:rPr>
            <w:rFonts w:cs="Times New Roman"/>
            <w:szCs w:val="24"/>
          </w:rPr>
          <w:instrText xml:space="preserve"> PAGE   \* MERGEFORMAT </w:instrText>
        </w:r>
        <w:r w:rsidRPr="008E3CAB">
          <w:rPr>
            <w:rFonts w:cs="Times New Roman"/>
            <w:szCs w:val="24"/>
          </w:rPr>
          <w:fldChar w:fldCharType="separate"/>
        </w:r>
        <w:r w:rsidR="00501508">
          <w:rPr>
            <w:rFonts w:cs="Times New Roman"/>
            <w:noProof/>
            <w:szCs w:val="24"/>
          </w:rPr>
          <w:t>1</w:t>
        </w:r>
        <w:r w:rsidRPr="008E3CAB">
          <w:rPr>
            <w:rFonts w:cs="Times New Roman"/>
            <w:noProof/>
            <w:szCs w:val="24"/>
          </w:rPr>
          <w:fldChar w:fldCharType="end"/>
        </w:r>
      </w:sdtContent>
    </w:sdt>
  </w:p>
  <w:p w14:paraId="1E8A29D4" w14:textId="77777777" w:rsidR="008E3CAB" w:rsidRDefault="008E3C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083"/>
    <w:rsid w:val="000075F8"/>
    <w:rsid w:val="000C7380"/>
    <w:rsid w:val="00134848"/>
    <w:rsid w:val="00137390"/>
    <w:rsid w:val="001A5221"/>
    <w:rsid w:val="001E5968"/>
    <w:rsid w:val="00227520"/>
    <w:rsid w:val="0027714A"/>
    <w:rsid w:val="00297A44"/>
    <w:rsid w:val="002C1217"/>
    <w:rsid w:val="002C3F9E"/>
    <w:rsid w:val="002D3ACF"/>
    <w:rsid w:val="002E771A"/>
    <w:rsid w:val="00303C25"/>
    <w:rsid w:val="003041BE"/>
    <w:rsid w:val="00371D7B"/>
    <w:rsid w:val="003B51BE"/>
    <w:rsid w:val="00471533"/>
    <w:rsid w:val="004D65CD"/>
    <w:rsid w:val="00501508"/>
    <w:rsid w:val="005369E4"/>
    <w:rsid w:val="005913F9"/>
    <w:rsid w:val="005F6015"/>
    <w:rsid w:val="00611316"/>
    <w:rsid w:val="00621DC5"/>
    <w:rsid w:val="00644D33"/>
    <w:rsid w:val="00652955"/>
    <w:rsid w:val="00691C07"/>
    <w:rsid w:val="006B7184"/>
    <w:rsid w:val="007068E2"/>
    <w:rsid w:val="00883636"/>
    <w:rsid w:val="008B0A23"/>
    <w:rsid w:val="008E3CAB"/>
    <w:rsid w:val="00910823"/>
    <w:rsid w:val="009525ED"/>
    <w:rsid w:val="009547CE"/>
    <w:rsid w:val="009A173A"/>
    <w:rsid w:val="00A03E13"/>
    <w:rsid w:val="00A12D3B"/>
    <w:rsid w:val="00AC0083"/>
    <w:rsid w:val="00B04ECD"/>
    <w:rsid w:val="00B13C7C"/>
    <w:rsid w:val="00B2687B"/>
    <w:rsid w:val="00BA5A07"/>
    <w:rsid w:val="00BC26E8"/>
    <w:rsid w:val="00C85B9B"/>
    <w:rsid w:val="00C90E68"/>
    <w:rsid w:val="00CE6858"/>
    <w:rsid w:val="00D45460"/>
    <w:rsid w:val="00D81903"/>
    <w:rsid w:val="00DE0413"/>
    <w:rsid w:val="00DF4792"/>
    <w:rsid w:val="00E94457"/>
    <w:rsid w:val="00EB6EA1"/>
    <w:rsid w:val="00EC7BF5"/>
    <w:rsid w:val="00F45318"/>
    <w:rsid w:val="00F63426"/>
    <w:rsid w:val="00FA3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3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501508"/>
    <w:pPr>
      <w:keepNext/>
      <w:keepLines/>
      <w:ind w:firstLine="0"/>
      <w:jc w:val="center"/>
      <w:outlineLvl w:val="0"/>
    </w:pPr>
    <w:rPr>
      <w:rFonts w:eastAsiaTheme="majorEastAsia"/>
      <w:b/>
      <w:color w:val="404040" w:themeColor="text1" w:themeTint="BF"/>
      <w:szCs w:val="24"/>
    </w:rPr>
  </w:style>
  <w:style w:type="paragraph" w:styleId="Heading2">
    <w:name w:val="heading 2"/>
    <w:basedOn w:val="Normal"/>
    <w:next w:val="Normal"/>
    <w:link w:val="Heading2Char"/>
    <w:autoRedefine/>
    <w:uiPriority w:val="9"/>
    <w:unhideWhenUsed/>
    <w:qFormat/>
    <w:rsid w:val="009547CE"/>
    <w:pPr>
      <w:keepNext/>
      <w:keepLines/>
      <w:spacing w:before="40"/>
      <w:outlineLvl w:val="1"/>
    </w:pPr>
    <w:rPr>
      <w:rFonts w:eastAsiaTheme="majorEastAsia"/>
      <w:b/>
      <w:szCs w:val="26"/>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508"/>
    <w:rPr>
      <w:rFonts w:ascii="Times New Roman" w:eastAsiaTheme="majorEastAsia" w:hAnsi="Times New Roman"/>
      <w:b/>
      <w:color w:val="404040" w:themeColor="text1" w:themeTint="BF"/>
      <w:sz w:val="24"/>
      <w:szCs w:val="24"/>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9547CE"/>
    <w:pPr>
      <w:spacing w:line="240" w:lineRule="auto"/>
    </w:pPr>
    <w:rPr>
      <w:bCs/>
    </w:rPr>
  </w:style>
  <w:style w:type="character" w:customStyle="1" w:styleId="Heading2Char">
    <w:name w:val="Heading 2 Char"/>
    <w:basedOn w:val="DefaultParagraphFont"/>
    <w:link w:val="Heading2"/>
    <w:uiPriority w:val="9"/>
    <w:rsid w:val="009547CE"/>
    <w:rPr>
      <w:rFonts w:ascii="Times New Roman" w:eastAsiaTheme="majorEastAsia" w:hAnsi="Times New Roman"/>
      <w:b/>
      <w:color w:val="0D0D0D" w:themeColor="text1" w:themeTint="F2"/>
      <w:sz w:val="24"/>
      <w:szCs w:val="26"/>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652955"/>
    <w:pPr>
      <w:tabs>
        <w:tab w:val="center" w:pos="4680"/>
        <w:tab w:val="right" w:pos="9360"/>
      </w:tabs>
      <w:spacing w:line="240" w:lineRule="auto"/>
    </w:pPr>
  </w:style>
  <w:style w:type="character" w:customStyle="1" w:styleId="HeaderChar">
    <w:name w:val="Header Char"/>
    <w:basedOn w:val="DefaultParagraphFont"/>
    <w:link w:val="Header"/>
    <w:uiPriority w:val="99"/>
    <w:rsid w:val="00652955"/>
    <w:rPr>
      <w:rFonts w:ascii="Times New Roman" w:hAnsi="Times New Roman"/>
      <w:color w:val="0D0D0D" w:themeColor="text1" w:themeTint="F2"/>
      <w:sz w:val="24"/>
    </w:rPr>
  </w:style>
  <w:style w:type="paragraph" w:styleId="Footer">
    <w:name w:val="footer"/>
    <w:basedOn w:val="Normal"/>
    <w:link w:val="FooterChar"/>
    <w:uiPriority w:val="99"/>
    <w:unhideWhenUsed/>
    <w:rsid w:val="00652955"/>
    <w:pPr>
      <w:tabs>
        <w:tab w:val="center" w:pos="4680"/>
        <w:tab w:val="right" w:pos="9360"/>
      </w:tabs>
      <w:spacing w:line="240" w:lineRule="auto"/>
    </w:pPr>
  </w:style>
  <w:style w:type="character" w:customStyle="1" w:styleId="FooterChar">
    <w:name w:val="Footer Char"/>
    <w:basedOn w:val="DefaultParagraphFont"/>
    <w:link w:val="Footer"/>
    <w:uiPriority w:val="99"/>
    <w:rsid w:val="00652955"/>
    <w:rPr>
      <w:rFonts w:ascii="Times New Roman" w:hAnsi="Times New Roman"/>
      <w:color w:val="0D0D0D" w:themeColor="text1" w:themeTint="F2"/>
      <w:sz w:val="24"/>
    </w:rPr>
  </w:style>
  <w:style w:type="paragraph" w:styleId="FootnoteText">
    <w:name w:val="footnote text"/>
    <w:basedOn w:val="Normal"/>
    <w:link w:val="FootnoteTextChar"/>
    <w:uiPriority w:val="99"/>
    <w:semiHidden/>
    <w:unhideWhenUsed/>
    <w:rsid w:val="001E5968"/>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E5968"/>
    <w:rPr>
      <w:rFonts w:ascii="Times New Roman" w:hAnsi="Times New Roman"/>
      <w:color w:val="0D0D0D" w:themeColor="text1" w:themeTint="F2"/>
      <w:sz w:val="20"/>
      <w:szCs w:val="20"/>
    </w:rPr>
  </w:style>
  <w:style w:type="character" w:styleId="FootnoteReference">
    <w:name w:val="footnote reference"/>
    <w:basedOn w:val="DefaultParagraphFont"/>
    <w:uiPriority w:val="99"/>
    <w:semiHidden/>
    <w:unhideWhenUsed/>
    <w:rsid w:val="001E5968"/>
    <w:rPr>
      <w:vertAlign w:val="superscript"/>
    </w:rPr>
  </w:style>
  <w:style w:type="character" w:styleId="Hyperlink">
    <w:name w:val="Hyperlink"/>
    <w:basedOn w:val="DefaultParagraphFont"/>
    <w:uiPriority w:val="99"/>
    <w:semiHidden/>
    <w:unhideWhenUsed/>
    <w:rsid w:val="00DE04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pacing w:val="-10"/>
        <w:kern w:val="28"/>
        <w:sz w:val="36"/>
        <w:szCs w:val="56"/>
        <w:lang w:val="en-US" w:eastAsia="en-US" w:bidi="ar-SA"/>
      </w:rPr>
    </w:rPrDefault>
    <w:pPrDefault>
      <w:pPr>
        <w:spacing w:before="24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9547CE"/>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501508"/>
    <w:pPr>
      <w:keepNext/>
      <w:keepLines/>
      <w:ind w:firstLine="0"/>
      <w:jc w:val="center"/>
      <w:outlineLvl w:val="0"/>
    </w:pPr>
    <w:rPr>
      <w:rFonts w:eastAsiaTheme="majorEastAsia"/>
      <w:b/>
      <w:color w:val="404040" w:themeColor="text1" w:themeTint="BF"/>
      <w:szCs w:val="24"/>
    </w:rPr>
  </w:style>
  <w:style w:type="paragraph" w:styleId="Heading2">
    <w:name w:val="heading 2"/>
    <w:basedOn w:val="Normal"/>
    <w:next w:val="Normal"/>
    <w:link w:val="Heading2Char"/>
    <w:autoRedefine/>
    <w:uiPriority w:val="9"/>
    <w:unhideWhenUsed/>
    <w:qFormat/>
    <w:rsid w:val="009547CE"/>
    <w:pPr>
      <w:keepNext/>
      <w:keepLines/>
      <w:spacing w:before="40"/>
      <w:outlineLvl w:val="1"/>
    </w:pPr>
    <w:rPr>
      <w:rFonts w:eastAsiaTheme="majorEastAsia"/>
      <w:b/>
      <w:szCs w:val="26"/>
    </w:rPr>
  </w:style>
  <w:style w:type="paragraph" w:styleId="Heading3">
    <w:name w:val="heading 3"/>
    <w:basedOn w:val="Normal"/>
    <w:next w:val="Normal"/>
    <w:link w:val="Heading3Char"/>
    <w:autoRedefine/>
    <w:uiPriority w:val="9"/>
    <w:unhideWhenUsed/>
    <w:qFormat/>
    <w:rsid w:val="009547CE"/>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9547CE"/>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9547CE"/>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508"/>
    <w:rPr>
      <w:rFonts w:ascii="Times New Roman" w:eastAsiaTheme="majorEastAsia" w:hAnsi="Times New Roman"/>
      <w:b/>
      <w:color w:val="404040" w:themeColor="text1" w:themeTint="BF"/>
      <w:sz w:val="24"/>
      <w:szCs w:val="24"/>
    </w:rPr>
  </w:style>
  <w:style w:type="character" w:customStyle="1" w:styleId="Heading3Char">
    <w:name w:val="Heading 3 Char"/>
    <w:basedOn w:val="DefaultParagraphFont"/>
    <w:link w:val="Heading3"/>
    <w:uiPriority w:val="9"/>
    <w:rsid w:val="009547CE"/>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9547CE"/>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9547CE"/>
    <w:pPr>
      <w:spacing w:line="240" w:lineRule="auto"/>
    </w:pPr>
    <w:rPr>
      <w:bCs/>
    </w:rPr>
  </w:style>
  <w:style w:type="character" w:customStyle="1" w:styleId="Heading2Char">
    <w:name w:val="Heading 2 Char"/>
    <w:basedOn w:val="DefaultParagraphFont"/>
    <w:link w:val="Heading2"/>
    <w:uiPriority w:val="9"/>
    <w:rsid w:val="009547CE"/>
    <w:rPr>
      <w:rFonts w:ascii="Times New Roman" w:eastAsiaTheme="majorEastAsia" w:hAnsi="Times New Roman"/>
      <w:b/>
      <w:color w:val="0D0D0D" w:themeColor="text1" w:themeTint="F2"/>
      <w:sz w:val="24"/>
      <w:szCs w:val="26"/>
    </w:rPr>
  </w:style>
  <w:style w:type="character" w:customStyle="1" w:styleId="Heading5Char">
    <w:name w:val="Heading 5 Char"/>
    <w:basedOn w:val="DefaultParagraphFont"/>
    <w:link w:val="Heading5"/>
    <w:uiPriority w:val="9"/>
    <w:rsid w:val="009547CE"/>
    <w:rPr>
      <w:rFonts w:eastAsiaTheme="majorEastAsia"/>
      <w:b/>
      <w:i/>
      <w:color w:val="0D0D0D" w:themeColor="text1" w:themeTint="F2"/>
      <w:sz w:val="24"/>
    </w:rPr>
  </w:style>
  <w:style w:type="paragraph" w:styleId="Header">
    <w:name w:val="header"/>
    <w:basedOn w:val="Normal"/>
    <w:link w:val="HeaderChar"/>
    <w:uiPriority w:val="99"/>
    <w:unhideWhenUsed/>
    <w:rsid w:val="00652955"/>
    <w:pPr>
      <w:tabs>
        <w:tab w:val="center" w:pos="4680"/>
        <w:tab w:val="right" w:pos="9360"/>
      </w:tabs>
      <w:spacing w:line="240" w:lineRule="auto"/>
    </w:pPr>
  </w:style>
  <w:style w:type="character" w:customStyle="1" w:styleId="HeaderChar">
    <w:name w:val="Header Char"/>
    <w:basedOn w:val="DefaultParagraphFont"/>
    <w:link w:val="Header"/>
    <w:uiPriority w:val="99"/>
    <w:rsid w:val="00652955"/>
    <w:rPr>
      <w:rFonts w:ascii="Times New Roman" w:hAnsi="Times New Roman"/>
      <w:color w:val="0D0D0D" w:themeColor="text1" w:themeTint="F2"/>
      <w:sz w:val="24"/>
    </w:rPr>
  </w:style>
  <w:style w:type="paragraph" w:styleId="Footer">
    <w:name w:val="footer"/>
    <w:basedOn w:val="Normal"/>
    <w:link w:val="FooterChar"/>
    <w:uiPriority w:val="99"/>
    <w:unhideWhenUsed/>
    <w:rsid w:val="00652955"/>
    <w:pPr>
      <w:tabs>
        <w:tab w:val="center" w:pos="4680"/>
        <w:tab w:val="right" w:pos="9360"/>
      </w:tabs>
      <w:spacing w:line="240" w:lineRule="auto"/>
    </w:pPr>
  </w:style>
  <w:style w:type="character" w:customStyle="1" w:styleId="FooterChar">
    <w:name w:val="Footer Char"/>
    <w:basedOn w:val="DefaultParagraphFont"/>
    <w:link w:val="Footer"/>
    <w:uiPriority w:val="99"/>
    <w:rsid w:val="00652955"/>
    <w:rPr>
      <w:rFonts w:ascii="Times New Roman" w:hAnsi="Times New Roman"/>
      <w:color w:val="0D0D0D" w:themeColor="text1" w:themeTint="F2"/>
      <w:sz w:val="24"/>
    </w:rPr>
  </w:style>
  <w:style w:type="paragraph" w:styleId="FootnoteText">
    <w:name w:val="footnote text"/>
    <w:basedOn w:val="Normal"/>
    <w:link w:val="FootnoteTextChar"/>
    <w:uiPriority w:val="99"/>
    <w:semiHidden/>
    <w:unhideWhenUsed/>
    <w:rsid w:val="001E5968"/>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E5968"/>
    <w:rPr>
      <w:rFonts w:ascii="Times New Roman" w:hAnsi="Times New Roman"/>
      <w:color w:val="0D0D0D" w:themeColor="text1" w:themeTint="F2"/>
      <w:sz w:val="20"/>
      <w:szCs w:val="20"/>
    </w:rPr>
  </w:style>
  <w:style w:type="character" w:styleId="FootnoteReference">
    <w:name w:val="footnote reference"/>
    <w:basedOn w:val="DefaultParagraphFont"/>
    <w:uiPriority w:val="99"/>
    <w:semiHidden/>
    <w:unhideWhenUsed/>
    <w:rsid w:val="001E5968"/>
    <w:rPr>
      <w:vertAlign w:val="superscript"/>
    </w:rPr>
  </w:style>
  <w:style w:type="character" w:styleId="Hyperlink">
    <w:name w:val="Hyperlink"/>
    <w:basedOn w:val="DefaultParagraphFont"/>
    <w:uiPriority w:val="99"/>
    <w:semiHidden/>
    <w:unhideWhenUsed/>
    <w:rsid w:val="00DE04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Jacques-Louis_David" TargetMode="External"/><Relationship Id="rId13" Type="http://schemas.openxmlformats.org/officeDocument/2006/relationships/hyperlink" Target="https://books.google.com/books?id=4PsjAwAAQBA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ritannica.com/topic/Mausoleum-of-Halicarnass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The_Raft_of_the_Medus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wikipedia.org/wiki/The_Third_of_May_1808" TargetMode="External"/><Relationship Id="rId4" Type="http://schemas.openxmlformats.org/officeDocument/2006/relationships/settings" Target="settings.xml"/><Relationship Id="rId9" Type="http://schemas.openxmlformats.org/officeDocument/2006/relationships/hyperlink" Target="https://en.wikipedia.org/wiki/Goya" TargetMode="External"/><Relationship Id="rId14" Type="http://schemas.openxmlformats.org/officeDocument/2006/relationships/hyperlink" Target="https://books.google.com/books?id=kvT_0aOkOSkC&amp;pg=PA14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books.google.com/books?id=kvT_0aOkOSkC&amp;pg=PA146" TargetMode="External"/><Relationship Id="rId1" Type="http://schemas.openxmlformats.org/officeDocument/2006/relationships/hyperlink" Target="https://books.google.com/books?id=4PsjAwAAQBAJ"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B7D54AB-D70F-4464-80C8-1FDEB4EA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kimurgor</dc:creator>
  <cp:lastModifiedBy>admin</cp:lastModifiedBy>
  <cp:revision>4</cp:revision>
  <dcterms:created xsi:type="dcterms:W3CDTF">2020-12-18T07:29:00Z</dcterms:created>
  <dcterms:modified xsi:type="dcterms:W3CDTF">2020-12-18T07:36:00Z</dcterms:modified>
</cp:coreProperties>
</file>